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B6B3AE2">
      <w:pPr>
        <w:spacing w:before="100" w:beforeAutospacing="1" w:after="100" w:afterAutospacing="1" w:line="240" w:lineRule="auto"/>
        <w:jc w:val="center"/>
        <w:rPr>
          <w:rFonts w:ascii="Times New Roman" w:hAnsi="Times New Roman" w:eastAsia="Times New Roman" w:cs="Times New Roman"/>
          <w:kern w:val="0"/>
          <w:sz w:val="28"/>
          <w:szCs w:val="28"/>
          <w14:ligatures w14:val="none"/>
        </w:rPr>
      </w:pPr>
      <w:r>
        <w:rPr>
          <w:rFonts w:ascii="Times New Roman" w:hAnsi="Times New Roman" w:eastAsia="Times New Roman" w:cs="Times New Roman"/>
          <w:b/>
          <w:bCs/>
          <w:kern w:val="0"/>
          <w:sz w:val="28"/>
          <w:szCs w:val="28"/>
          <w14:ligatures w14:val="none"/>
        </w:rPr>
        <w:t>2026 (28th) China Mining Conference and Exhibition</w:t>
      </w:r>
      <w:r>
        <w:rPr>
          <w:rFonts w:ascii="Times New Roman" w:hAnsi="Times New Roman" w:eastAsia="Times New Roman" w:cs="Times New Roman"/>
          <w:kern w:val="0"/>
          <w:sz w:val="28"/>
          <w:szCs w:val="28"/>
          <w14:ligatures w14:val="none"/>
        </w:rPr>
        <w:br w:type="textWrapping"/>
      </w:r>
      <w:r>
        <w:rPr>
          <w:rFonts w:hint="eastAsia" w:ascii="Times New Roman" w:hAnsi="Times New Roman" w:eastAsia="Times New Roman" w:cs="Times New Roman"/>
          <w:b/>
          <w:bCs/>
          <w:kern w:val="0"/>
          <w:sz w:val="28"/>
          <w:szCs w:val="28"/>
          <w14:ligatures w14:val="none"/>
        </w:rPr>
        <w:t>Mineral</w:t>
      </w:r>
      <w:r>
        <w:rPr>
          <w:rFonts w:ascii="Times New Roman" w:hAnsi="Times New Roman" w:eastAsia="Times New Roman" w:cs="Times New Roman"/>
          <w:b/>
          <w:bCs/>
          <w:kern w:val="0"/>
          <w:sz w:val="28"/>
          <w:szCs w:val="28"/>
          <w14:ligatures w14:val="none"/>
        </w:rPr>
        <w:t xml:space="preserve"> Rights Trading Session – Participation Documents</w:t>
      </w:r>
    </w:p>
    <w:p w14:paraId="57F8C73F">
      <w:pPr>
        <w:spacing w:before="100" w:beforeAutospacing="1" w:after="100" w:afterAutospacing="1" w:line="240" w:lineRule="auto"/>
        <w:jc w:val="center"/>
        <w:rPr>
          <w:rFonts w:ascii="Times New Roman" w:hAnsi="Times New Roman" w:eastAsia="Times New Roman" w:cs="Times New Roman"/>
          <w:kern w:val="0"/>
          <w14:ligatures w14:val="none"/>
        </w:rPr>
      </w:pPr>
      <w:r>
        <w:rPr>
          <w:rFonts w:ascii="Times New Roman" w:hAnsi="Times New Roman" w:eastAsia="Times New Roman" w:cs="Times New Roman"/>
          <w:b/>
          <w:bCs/>
          <w:kern w:val="36"/>
          <w:sz w:val="28"/>
          <w:szCs w:val="28"/>
          <w14:ligatures w14:val="none"/>
        </w:rPr>
        <w:t>LETTER OF AUTHORIZATION</w:t>
      </w:r>
    </w:p>
    <w:p w14:paraId="7E00986B">
      <w:pPr>
        <w:spacing w:before="100" w:beforeAutospacing="1" w:after="100" w:afterAutospacing="1" w:line="240" w:lineRule="auto"/>
        <w:rPr>
          <w:rFonts w:ascii="Times New Roman" w:hAnsi="Times New Roman" w:eastAsia="Times New Roman" w:cs="Times New Roman"/>
          <w:kern w:val="0"/>
          <w14:ligatures w14:val="none"/>
        </w:rPr>
      </w:pPr>
      <w:r>
        <w:rPr>
          <w:rFonts w:ascii="Times New Roman" w:hAnsi="Times New Roman" w:eastAsia="Times New Roman" w:cs="Times New Roman"/>
          <w:kern w:val="0"/>
          <w14:ligatures w14:val="none"/>
        </w:rPr>
        <w:t>Principal (Full Legal Name): ________________________________</w:t>
      </w:r>
    </w:p>
    <w:p w14:paraId="77E44D95">
      <w:pPr>
        <w:spacing w:before="100" w:beforeAutospacing="1" w:after="100" w:afterAutospacing="1" w:line="240" w:lineRule="auto"/>
        <w:rPr>
          <w:rFonts w:ascii="Times New Roman" w:hAnsi="Times New Roman" w:eastAsia="Times New Roman" w:cs="Times New Roman"/>
          <w:kern w:val="0"/>
          <w14:ligatures w14:val="none"/>
        </w:rPr>
      </w:pPr>
      <w:r>
        <w:rPr>
          <w:rFonts w:ascii="Times New Roman" w:hAnsi="Times New Roman" w:eastAsia="Times New Roman" w:cs="Times New Roman"/>
          <w:kern w:val="0"/>
          <w14:ligatures w14:val="none"/>
        </w:rPr>
        <w:t>Unified Social Credit Code: ________________________________</w:t>
      </w:r>
    </w:p>
    <w:p w14:paraId="0C815221">
      <w:pPr>
        <w:spacing w:before="100" w:beforeAutospacing="1" w:after="100" w:afterAutospacing="1" w:line="240" w:lineRule="auto"/>
        <w:rPr>
          <w:rFonts w:ascii="Times New Roman" w:hAnsi="Times New Roman" w:eastAsia="Times New Roman" w:cs="Times New Roman"/>
          <w:kern w:val="0"/>
          <w14:ligatures w14:val="none"/>
        </w:rPr>
      </w:pPr>
      <w:r>
        <w:rPr>
          <w:rFonts w:ascii="Times New Roman" w:hAnsi="Times New Roman" w:eastAsia="Times New Roman" w:cs="Times New Roman"/>
          <w:kern w:val="0"/>
          <w14:ligatures w14:val="none"/>
        </w:rPr>
        <w:t>Legal Representative: ____________________ Position: ____________________</w:t>
      </w:r>
    </w:p>
    <w:p w14:paraId="58387F59">
      <w:pPr>
        <w:spacing w:before="100" w:beforeAutospacing="1" w:after="100" w:afterAutospacing="1" w:line="240" w:lineRule="auto"/>
        <w:rPr>
          <w:rFonts w:ascii="Times New Roman" w:hAnsi="Times New Roman" w:eastAsia="Times New Roman" w:cs="Times New Roman"/>
          <w:kern w:val="0"/>
          <w14:ligatures w14:val="none"/>
        </w:rPr>
      </w:pPr>
      <w:r>
        <w:rPr>
          <w:rFonts w:ascii="Times New Roman" w:hAnsi="Times New Roman" w:eastAsia="Times New Roman" w:cs="Times New Roman"/>
          <w:kern w:val="0"/>
          <w14:ligatures w14:val="none"/>
        </w:rPr>
        <w:t>Address: _________________________________________________</w:t>
      </w:r>
    </w:p>
    <w:p w14:paraId="0A7A5E7D">
      <w:pPr>
        <w:spacing w:before="100" w:beforeAutospacing="1" w:after="100" w:afterAutospacing="1" w:line="240" w:lineRule="auto"/>
        <w:rPr>
          <w:rFonts w:ascii="Times New Roman" w:hAnsi="Times New Roman" w:eastAsia="Times New Roman" w:cs="Times New Roman"/>
          <w:kern w:val="0"/>
          <w14:ligatures w14:val="none"/>
        </w:rPr>
      </w:pPr>
      <w:r>
        <w:rPr>
          <w:rFonts w:ascii="Times New Roman" w:hAnsi="Times New Roman" w:eastAsia="Times New Roman" w:cs="Times New Roman"/>
          <w:kern w:val="0"/>
          <w14:ligatures w14:val="none"/>
        </w:rPr>
        <w:t>Contact Person: ____________________ Telephone: ____________________</w:t>
      </w:r>
    </w:p>
    <w:p w14:paraId="13879D22">
      <w:pPr>
        <w:spacing w:before="100" w:beforeAutospacing="1" w:after="100" w:afterAutospacing="1" w:line="240" w:lineRule="auto"/>
        <w:rPr>
          <w:rFonts w:ascii="Times New Roman" w:hAnsi="Times New Roman" w:eastAsia="Times New Roman" w:cs="Times New Roman"/>
          <w:kern w:val="0"/>
          <w14:ligatures w14:val="none"/>
        </w:rPr>
      </w:pPr>
      <w:r>
        <w:rPr>
          <w:rFonts w:ascii="Times New Roman" w:hAnsi="Times New Roman" w:eastAsia="Times New Roman" w:cs="Times New Roman"/>
          <w:kern w:val="0"/>
          <w14:ligatures w14:val="none"/>
        </w:rPr>
        <w:t>Email: _________________________________________________</w:t>
      </w:r>
    </w:p>
    <w:p w14:paraId="54A3CBE9">
      <w:pPr>
        <w:spacing w:before="100" w:beforeAutospacing="1" w:after="100" w:afterAutospacing="1" w:line="240" w:lineRule="auto"/>
        <w:rPr>
          <w:rFonts w:ascii="Times New Roman" w:hAnsi="Times New Roman" w:eastAsia="Times New Roman" w:cs="Times New Roman"/>
          <w:kern w:val="0"/>
          <w14:ligatures w14:val="none"/>
        </w:rPr>
      </w:pPr>
      <w:r>
        <w:rPr>
          <w:rFonts w:ascii="Times New Roman" w:hAnsi="Times New Roman" w:eastAsia="Times New Roman" w:cs="Times New Roman"/>
          <w:kern w:val="0"/>
          <w14:ligatures w14:val="none"/>
        </w:rPr>
        <w:t xml:space="preserve">To: </w:t>
      </w:r>
      <w:r>
        <w:rPr>
          <w:rFonts w:ascii="Times New Roman" w:hAnsi="Times New Roman" w:eastAsia="Times New Roman" w:cs="Times New Roman"/>
          <w:b/>
          <w:bCs/>
          <w:kern w:val="0"/>
          <w14:ligatures w14:val="none"/>
        </w:rPr>
        <w:t>China Mining Association and Relevant Institutions</w:t>
      </w:r>
      <w:r>
        <w:rPr>
          <w:rFonts w:ascii="Times New Roman" w:hAnsi="Times New Roman" w:eastAsia="Times New Roman" w:cs="Times New Roman"/>
          <w:kern w:val="0"/>
          <w14:ligatures w14:val="none"/>
        </w:rPr>
        <w:t xml:space="preserve"> (the "Agent")</w:t>
      </w:r>
    </w:p>
    <w:p w14:paraId="767E8B1E">
      <w:pPr>
        <w:spacing w:before="100" w:beforeAutospacing="1" w:after="100" w:afterAutospacing="1" w:line="240" w:lineRule="auto"/>
        <w:rPr>
          <w:rFonts w:ascii="Times New Roman" w:hAnsi="Times New Roman" w:eastAsia="Times New Roman" w:cs="Times New Roman"/>
          <w:kern w:val="0"/>
          <w14:ligatures w14:val="none"/>
        </w:rPr>
      </w:pPr>
      <w:r>
        <w:rPr>
          <w:rFonts w:ascii="Times New Roman" w:hAnsi="Times New Roman" w:eastAsia="Times New Roman" w:cs="Times New Roman"/>
          <w:kern w:val="0"/>
          <w14:ligatures w14:val="none"/>
        </w:rPr>
        <w:t>The Principal intends to participate in the 2026 (28th) China Mining Conference and Exhibition – Mineral Rights Trading Session and hereby authorizes the Agent as follows:</w:t>
      </w:r>
    </w:p>
    <w:p w14:paraId="756B5DE2">
      <w:pPr>
        <w:spacing w:before="100" w:beforeAutospacing="1" w:after="100" w:afterAutospacing="1" w:line="240" w:lineRule="auto"/>
        <w:rPr>
          <w:rFonts w:ascii="Times New Roman" w:hAnsi="Times New Roman" w:eastAsia="Times New Roman" w:cs="Times New Roman"/>
          <w:kern w:val="0"/>
          <w14:ligatures w14:val="none"/>
        </w:rPr>
      </w:pPr>
      <w:r>
        <w:rPr>
          <w:rFonts w:ascii="Times New Roman" w:hAnsi="Times New Roman" w:eastAsia="Times New Roman" w:cs="Times New Roman"/>
          <w:b/>
          <w:bCs/>
          <w:kern w:val="36"/>
          <w14:ligatures w14:val="none"/>
        </w:rPr>
        <w:t>I. Scope of Authorization</w:t>
      </w:r>
    </w:p>
    <w:p w14:paraId="1ED07DB3">
      <w:pPr>
        <w:spacing w:before="100" w:beforeAutospacing="1" w:after="100" w:afterAutospacing="1" w:line="240" w:lineRule="auto"/>
        <w:rPr>
          <w:rFonts w:hint="eastAsia" w:ascii="Times New Roman" w:hAnsi="Times New Roman" w:eastAsia="Times New Roman" w:cs="Times New Roman"/>
          <w:b/>
          <w:bCs/>
          <w:kern w:val="0"/>
          <w14:ligatures w14:val="none"/>
        </w:rPr>
      </w:pPr>
      <w:r>
        <w:rPr>
          <w:rFonts w:ascii="Times New Roman" w:hAnsi="Times New Roman" w:eastAsia="Times New Roman" w:cs="Times New Roman"/>
          <w:b/>
          <w:bCs/>
          <w:kern w:val="0"/>
          <w:sz w:val="27"/>
          <w:szCs w:val="27"/>
          <w14:ligatures w14:val="none"/>
        </w:rPr>
        <w:t xml:space="preserve">□ </w:t>
      </w:r>
      <w:r>
        <w:rPr>
          <w:rFonts w:ascii="Times New Roman" w:hAnsi="Times New Roman" w:eastAsia="Times New Roman" w:cs="Times New Roman"/>
          <w:b/>
          <w:bCs/>
          <w:kern w:val="0"/>
          <w14:ligatures w14:val="none"/>
        </w:rPr>
        <w:t xml:space="preserve">1. </w:t>
      </w:r>
      <w:r>
        <w:rPr>
          <w:rFonts w:hint="eastAsia" w:ascii="Times New Roman" w:hAnsi="Times New Roman" w:eastAsia="Times New Roman" w:cs="Times New Roman"/>
          <w:b/>
          <w:bCs/>
          <w:kern w:val="0"/>
          <w14:ligatures w14:val="none"/>
        </w:rPr>
        <w:t>Commissioned Competitive Trading</w:t>
      </w:r>
    </w:p>
    <w:p w14:paraId="2FBB1549">
      <w:pPr>
        <w:spacing w:before="100" w:beforeAutospacing="1" w:after="100" w:afterAutospacing="1" w:line="240" w:lineRule="auto"/>
        <w:rPr>
          <w:rFonts w:ascii="Times New Roman" w:hAnsi="Times New Roman" w:eastAsia="Times New Roman" w:cs="Times New Roman"/>
          <w:kern w:val="0"/>
          <w14:ligatures w14:val="none"/>
        </w:rPr>
      </w:pPr>
      <w:r>
        <w:rPr>
          <w:rFonts w:ascii="Times New Roman" w:hAnsi="Times New Roman" w:eastAsia="Times New Roman" w:cs="Times New Roman"/>
          <w:kern w:val="0"/>
          <w14:ligatures w14:val="none"/>
        </w:rPr>
        <w:t>The Agent shall, through the Trading Session platform (or designated institution), facilitate a transaction in accordance with applicable laws and regulations by means of public competitive procedures (including auction, tender, listing, or other methods) with respect to the transaction assets owned by or sought by the Principal (as detailed in the attached schedule).</w:t>
      </w:r>
    </w:p>
    <w:p w14:paraId="5DE29367">
      <w:pPr>
        <w:spacing w:before="100" w:beforeAutospacing="1" w:after="100" w:afterAutospacing="1" w:line="240" w:lineRule="auto"/>
        <w:rPr>
          <w:rFonts w:ascii="Times New Roman" w:hAnsi="Times New Roman" w:eastAsia="Times New Roman" w:cs="Times New Roman"/>
          <w:kern w:val="0"/>
          <w14:ligatures w14:val="none"/>
        </w:rPr>
      </w:pPr>
      <w:r>
        <w:rPr>
          <w:rFonts w:ascii="Times New Roman" w:hAnsi="Times New Roman" w:eastAsia="Times New Roman" w:cs="Times New Roman"/>
          <w:b/>
          <w:bCs/>
          <w:kern w:val="0"/>
          <w:sz w:val="27"/>
          <w:szCs w:val="27"/>
          <w14:ligatures w14:val="none"/>
        </w:rPr>
        <w:t xml:space="preserve">□ </w:t>
      </w:r>
      <w:r>
        <w:rPr>
          <w:rFonts w:ascii="Times New Roman" w:hAnsi="Times New Roman" w:eastAsia="Times New Roman" w:cs="Times New Roman"/>
          <w:b/>
          <w:bCs/>
          <w:kern w:val="0"/>
          <w14:ligatures w14:val="none"/>
        </w:rPr>
        <w:t>2. Targeted Matchmaking</w:t>
      </w:r>
    </w:p>
    <w:p w14:paraId="399FF43E">
      <w:pPr>
        <w:spacing w:before="100" w:beforeAutospacing="1" w:after="100" w:afterAutospacing="1" w:line="240" w:lineRule="auto"/>
        <w:rPr>
          <w:rFonts w:ascii="Times New Roman" w:hAnsi="Times New Roman" w:eastAsia="Times New Roman" w:cs="Times New Roman"/>
          <w:kern w:val="0"/>
          <w14:ligatures w14:val="none"/>
        </w:rPr>
      </w:pPr>
      <w:r>
        <w:rPr>
          <w:rFonts w:ascii="Times New Roman" w:hAnsi="Times New Roman" w:eastAsia="Times New Roman" w:cs="Times New Roman"/>
          <w:kern w:val="0"/>
          <w14:ligatures w14:val="none"/>
        </w:rPr>
        <w:t>The Agent shall identify and match qualified potential counterparties for the Principal and facilitate the transaction through information verification, introduction of interested parties, negotiation assistance, and related services.</w:t>
      </w:r>
    </w:p>
    <w:p w14:paraId="53C78CD1">
      <w:pPr>
        <w:spacing w:before="100" w:beforeAutospacing="1" w:after="100" w:afterAutospacing="1" w:line="240" w:lineRule="auto"/>
        <w:rPr>
          <w:rFonts w:ascii="Times New Roman" w:hAnsi="Times New Roman" w:eastAsia="Times New Roman" w:cs="Times New Roman"/>
          <w:kern w:val="0"/>
          <w14:ligatures w14:val="none"/>
        </w:rPr>
      </w:pPr>
      <w:r>
        <w:rPr>
          <w:rFonts w:ascii="Times New Roman" w:hAnsi="Times New Roman" w:eastAsia="Times New Roman" w:cs="Times New Roman"/>
          <w:b/>
          <w:bCs/>
          <w:kern w:val="0"/>
          <w:sz w:val="27"/>
          <w:szCs w:val="27"/>
          <w14:ligatures w14:val="none"/>
        </w:rPr>
        <w:t xml:space="preserve">□ </w:t>
      </w:r>
      <w:r>
        <w:rPr>
          <w:rFonts w:ascii="Times New Roman" w:hAnsi="Times New Roman" w:eastAsia="Times New Roman" w:cs="Times New Roman"/>
          <w:b/>
          <w:bCs/>
          <w:kern w:val="0"/>
          <w14:ligatures w14:val="none"/>
        </w:rPr>
        <w:t xml:space="preserve">3. </w:t>
      </w:r>
      <w:r>
        <w:rPr>
          <w:rFonts w:hint="eastAsia" w:ascii="Times New Roman" w:hAnsi="Times New Roman" w:eastAsia="Times New Roman" w:cs="Times New Roman"/>
          <w:b/>
          <w:bCs/>
          <w:kern w:val="0"/>
          <w14:ligatures w14:val="none"/>
        </w:rPr>
        <w:t>Exclusive</w:t>
      </w:r>
      <w:r>
        <w:rPr>
          <w:rFonts w:ascii="Times New Roman" w:hAnsi="Times New Roman" w:eastAsia="Times New Roman" w:cs="Times New Roman"/>
          <w:b/>
          <w:bCs/>
          <w:kern w:val="0"/>
          <w14:ligatures w14:val="none"/>
        </w:rPr>
        <w:t xml:space="preserve"> Negotiation</w:t>
      </w:r>
    </w:p>
    <w:p w14:paraId="4AF62DB4">
      <w:pPr>
        <w:spacing w:before="100" w:beforeAutospacing="1" w:after="100" w:afterAutospacing="1" w:line="240" w:lineRule="auto"/>
        <w:rPr>
          <w:rFonts w:ascii="Times New Roman" w:hAnsi="Times New Roman" w:eastAsia="Times New Roman" w:cs="Times New Roman"/>
          <w:kern w:val="0"/>
          <w14:ligatures w14:val="none"/>
        </w:rPr>
      </w:pPr>
      <w:r>
        <w:rPr>
          <w:rFonts w:ascii="Times New Roman" w:hAnsi="Times New Roman" w:eastAsia="Times New Roman" w:cs="Times New Roman"/>
          <w:kern w:val="0"/>
          <w14:ligatures w14:val="none"/>
        </w:rPr>
        <w:t>The Agent shall coordinate a specific interested party and the Principal in entering into an independent negotiation arrangement. During the exclusivity period, the Principal shall not engage with any other third party regarding the subject matter of the negotiations. The interested party shall commit resources to due diligence and negotiations with a view to completing a formal transaction. The Agent shall be responsible for identifying and coordinating the interested party and providing assistance throughout the introduction and negotiation process.</w:t>
      </w:r>
    </w:p>
    <w:p w14:paraId="18B763D3">
      <w:pPr>
        <w:spacing w:before="100" w:beforeAutospacing="1" w:after="100" w:afterAutospacing="1" w:line="240" w:lineRule="auto"/>
        <w:rPr>
          <w:rFonts w:ascii="Times New Roman" w:hAnsi="Times New Roman" w:eastAsia="Times New Roman" w:cs="Times New Roman"/>
          <w:kern w:val="0"/>
          <w14:ligatures w14:val="none"/>
        </w:rPr>
      </w:pPr>
      <w:r>
        <w:rPr>
          <w:rFonts w:ascii="Times New Roman" w:hAnsi="Times New Roman" w:eastAsia="Times New Roman" w:cs="Times New Roman"/>
          <w:b/>
          <w:bCs/>
          <w:kern w:val="0"/>
          <w:sz w:val="27"/>
          <w:szCs w:val="27"/>
          <w14:ligatures w14:val="none"/>
        </w:rPr>
        <w:t xml:space="preserve">□ </w:t>
      </w:r>
      <w:r>
        <w:rPr>
          <w:rFonts w:ascii="Times New Roman" w:hAnsi="Times New Roman" w:eastAsia="Times New Roman" w:cs="Times New Roman"/>
          <w:b/>
          <w:bCs/>
          <w:kern w:val="0"/>
          <w14:ligatures w14:val="none"/>
        </w:rPr>
        <w:t>4. Other Authorized Matters</w:t>
      </w:r>
    </w:p>
    <w:p w14:paraId="3B943EE9">
      <w:pPr>
        <w:spacing w:before="100" w:beforeAutospacing="1" w:after="100" w:afterAutospacing="1" w:line="240" w:lineRule="auto"/>
        <w:rPr>
          <w:rFonts w:ascii="Times New Roman" w:hAnsi="Times New Roman" w:eastAsia="Times New Roman" w:cs="Times New Roman"/>
          <w:kern w:val="0"/>
          <w14:ligatures w14:val="none"/>
        </w:rPr>
      </w:pPr>
      <w:r>
        <w:rPr>
          <w:rFonts w:ascii="Times New Roman" w:hAnsi="Times New Roman" w:eastAsia="Times New Roman" w:cs="Times New Roman"/>
          <w:kern w:val="0"/>
          <w14:ligatures w14:val="none"/>
        </w:rPr>
        <w:t>(e.g., due diligence services or other matters; please provide a brief description)</w:t>
      </w:r>
    </w:p>
    <w:p w14:paraId="0F09B9B8">
      <w:pPr>
        <w:spacing w:before="100" w:beforeAutospacing="1" w:after="100" w:afterAutospacing="1" w:line="240" w:lineRule="auto"/>
        <w:rPr>
          <w:rFonts w:ascii="Times New Roman" w:hAnsi="Times New Roman" w:eastAsia="Times New Roman" w:cs="Times New Roman"/>
          <w:kern w:val="0"/>
          <w14:ligatures w14:val="none"/>
        </w:rPr>
      </w:pPr>
      <w:r>
        <w:rPr>
          <w:rFonts w:ascii="Times New Roman" w:hAnsi="Times New Roman" w:eastAsia="Times New Roman" w:cs="Times New Roman"/>
          <w:kern w:val="0"/>
          <w14:ligatures w14:val="none"/>
        </w:rPr>
        <w:t>----------------------------------------------------------------------------------------------------------------</w:t>
      </w:r>
    </w:p>
    <w:p w14:paraId="62E8FC58">
      <w:pPr>
        <w:spacing w:before="100" w:beforeAutospacing="1" w:after="100" w:afterAutospacing="1" w:line="240" w:lineRule="auto"/>
        <w:rPr>
          <w:rFonts w:ascii="Times New Roman" w:hAnsi="Times New Roman" w:eastAsia="Times New Roman" w:cs="Times New Roman"/>
          <w:kern w:val="0"/>
          <w14:ligatures w14:val="none"/>
        </w:rPr>
      </w:pPr>
      <w:r>
        <w:rPr>
          <w:rFonts w:ascii="Times New Roman" w:hAnsi="Times New Roman" w:eastAsia="Times New Roman" w:cs="Times New Roman"/>
          <w:b/>
          <w:bCs/>
          <w:kern w:val="0"/>
          <w14:ligatures w14:val="none"/>
        </w:rPr>
        <w:t>II. Authority Granted</w:t>
      </w:r>
    </w:p>
    <w:p w14:paraId="1F25B20F">
      <w:pPr>
        <w:numPr>
          <w:ilvl w:val="0"/>
          <w:numId w:val="1"/>
        </w:numPr>
        <w:spacing w:before="100" w:beforeAutospacing="1" w:after="100" w:afterAutospacing="1" w:line="240" w:lineRule="auto"/>
        <w:rPr>
          <w:rFonts w:ascii="Times New Roman" w:hAnsi="Times New Roman" w:eastAsia="Times New Roman" w:cs="Times New Roman"/>
          <w:kern w:val="0"/>
          <w14:ligatures w14:val="none"/>
        </w:rPr>
      </w:pPr>
      <w:r>
        <w:rPr>
          <w:rFonts w:ascii="Times New Roman" w:hAnsi="Times New Roman" w:eastAsia="Times New Roman" w:cs="Times New Roman"/>
          <w:kern w:val="0"/>
          <w14:ligatures w14:val="none"/>
        </w:rPr>
        <w:t>Subject to applicable laws, regulations, and the rules of the Trading Session, the Agent is authorized to publish the Principal's transaction information (provided that information designated as confidential under the applicable confidentiality agreement is not disclosed), receive registrations from interested parties, conduct preliminary qualification reviews, and organize competitive procedures or negotiations.</w:t>
      </w:r>
    </w:p>
    <w:p w14:paraId="042CA71F">
      <w:pPr>
        <w:numPr>
          <w:ilvl w:val="0"/>
          <w:numId w:val="1"/>
        </w:numPr>
        <w:spacing w:before="100" w:beforeAutospacing="1" w:after="100" w:afterAutospacing="1" w:line="240" w:lineRule="auto"/>
        <w:rPr>
          <w:rFonts w:ascii="Times New Roman" w:hAnsi="Times New Roman" w:eastAsia="Times New Roman" w:cs="Times New Roman"/>
          <w:kern w:val="0"/>
          <w14:ligatures w14:val="none"/>
        </w:rPr>
      </w:pPr>
      <w:r>
        <w:rPr>
          <w:rFonts w:ascii="Times New Roman" w:hAnsi="Times New Roman" w:eastAsia="Times New Roman" w:cs="Times New Roman"/>
          <w:kern w:val="0"/>
          <w14:ligatures w14:val="none"/>
        </w:rPr>
        <w:t>The Agent is authorized to receive and transmit correspondence, quotations, letters of intent, and other transaction-related documents on behalf of the Principal. However, any final transaction agreement shall only be valid if executed directly by the Principal.</w:t>
      </w:r>
    </w:p>
    <w:p w14:paraId="4013F02E">
      <w:pPr>
        <w:numPr>
          <w:ilvl w:val="0"/>
          <w:numId w:val="1"/>
        </w:numPr>
        <w:spacing w:before="100" w:beforeAutospacing="1" w:after="100" w:afterAutospacing="1" w:line="240" w:lineRule="auto"/>
        <w:rPr>
          <w:rFonts w:ascii="Times New Roman" w:hAnsi="Times New Roman" w:eastAsia="Times New Roman" w:cs="Times New Roman"/>
          <w:kern w:val="0"/>
          <w14:ligatures w14:val="none"/>
        </w:rPr>
      </w:pPr>
      <w:r>
        <w:rPr>
          <w:rFonts w:ascii="Times New Roman" w:hAnsi="Times New Roman" w:eastAsia="Times New Roman" w:cs="Times New Roman"/>
          <w:kern w:val="0"/>
          <w14:ligatures w14:val="none"/>
        </w:rPr>
        <w:t>The Agent is not authorized to determine substantive transaction terms on behalf of the Principal, including transaction price, payment terms, or liability for breach, unless expressly authorized in writing by the Principal.</w:t>
      </w:r>
    </w:p>
    <w:p w14:paraId="73A1B133">
      <w:pPr>
        <w:numPr>
          <w:ilvl w:val="0"/>
          <w:numId w:val="1"/>
        </w:numPr>
        <w:spacing w:before="100" w:beforeAutospacing="1" w:after="100" w:afterAutospacing="1" w:line="240" w:lineRule="auto"/>
        <w:rPr>
          <w:rFonts w:ascii="Times New Roman" w:hAnsi="Times New Roman" w:eastAsia="Times New Roman" w:cs="Times New Roman"/>
          <w:kern w:val="0"/>
          <w14:ligatures w14:val="none"/>
        </w:rPr>
      </w:pPr>
      <w:r>
        <w:rPr>
          <w:rFonts w:ascii="Times New Roman" w:hAnsi="Times New Roman" w:eastAsia="Times New Roman" w:cs="Times New Roman"/>
          <w:kern w:val="0"/>
          <w14:ligatures w14:val="none"/>
        </w:rPr>
        <w:t>This authorization shall extend to institutions arranged by or cooperating with the Agent, including Tianjin International Mineral Rights Exchange Co., Ltd. and Beijing China Mining Association Consulting Centre, among others. Where transaction policies or rules require separate authorizations to be executed, the Principal shall complete such authorizations in a timely manner.</w:t>
      </w:r>
    </w:p>
    <w:p w14:paraId="79870FCD">
      <w:pPr>
        <w:spacing w:before="100" w:beforeAutospacing="1" w:after="100" w:afterAutospacing="1" w:line="240" w:lineRule="auto"/>
        <w:rPr>
          <w:rFonts w:ascii="Times New Roman" w:hAnsi="Times New Roman" w:eastAsia="Times New Roman" w:cs="Times New Roman"/>
          <w:kern w:val="0"/>
          <w14:ligatures w14:val="none"/>
        </w:rPr>
      </w:pPr>
      <w:r>
        <w:rPr>
          <w:rFonts w:ascii="Times New Roman" w:hAnsi="Times New Roman" w:eastAsia="Times New Roman" w:cs="Times New Roman"/>
          <w:b/>
          <w:bCs/>
          <w:kern w:val="0"/>
          <w14:ligatures w14:val="none"/>
        </w:rPr>
        <w:t>III. Term of Authorization</w:t>
      </w:r>
    </w:p>
    <w:p w14:paraId="4D76315E">
      <w:pPr>
        <w:spacing w:before="100" w:beforeAutospacing="1" w:after="100" w:afterAutospacing="1" w:line="240" w:lineRule="auto"/>
        <w:rPr>
          <w:rFonts w:ascii="Times New Roman" w:hAnsi="Times New Roman" w:eastAsia="Times New Roman" w:cs="Times New Roman"/>
          <w:kern w:val="0"/>
          <w14:ligatures w14:val="none"/>
        </w:rPr>
      </w:pPr>
      <w:r>
        <w:rPr>
          <w:rFonts w:ascii="Times New Roman" w:hAnsi="Times New Roman" w:eastAsia="Times New Roman" w:cs="Times New Roman"/>
          <w:kern w:val="0"/>
          <w14:ligatures w14:val="none"/>
        </w:rPr>
        <w:t>This Letter of Authorization shall become effective upon execution and shall remain valid until 12 November 2026 (two months after the close of the Conference).</w:t>
      </w:r>
    </w:p>
    <w:p w14:paraId="7F159E17">
      <w:pPr>
        <w:spacing w:before="100" w:beforeAutospacing="1" w:after="100" w:afterAutospacing="1" w:line="240" w:lineRule="auto"/>
        <w:rPr>
          <w:rFonts w:ascii="Times New Roman" w:hAnsi="Times New Roman" w:eastAsia="Times New Roman" w:cs="Times New Roman"/>
          <w:kern w:val="0"/>
          <w14:ligatures w14:val="none"/>
        </w:rPr>
      </w:pPr>
      <w:r>
        <w:rPr>
          <w:rFonts w:ascii="Times New Roman" w:hAnsi="Times New Roman" w:eastAsia="Times New Roman" w:cs="Times New Roman"/>
          <w:kern w:val="0"/>
          <w14:ligatures w14:val="none"/>
        </w:rPr>
        <w:t>If, during the validity period, a transaction has entered into substantive negotiations or the performance stage, the validity period shall automatically extend until completion of such transaction.</w:t>
      </w:r>
    </w:p>
    <w:p w14:paraId="19D8E045">
      <w:pPr>
        <w:spacing w:before="100" w:beforeAutospacing="1" w:after="100" w:afterAutospacing="1" w:line="240" w:lineRule="auto"/>
        <w:rPr>
          <w:rFonts w:ascii="Times New Roman" w:hAnsi="Times New Roman" w:eastAsia="Times New Roman" w:cs="Times New Roman"/>
          <w:kern w:val="0"/>
          <w14:ligatures w14:val="none"/>
        </w:rPr>
      </w:pPr>
      <w:r>
        <w:rPr>
          <w:rFonts w:ascii="Times New Roman" w:hAnsi="Times New Roman" w:eastAsia="Times New Roman" w:cs="Times New Roman"/>
          <w:b/>
          <w:bCs/>
          <w:kern w:val="0"/>
          <w14:ligatures w14:val="none"/>
        </w:rPr>
        <w:t>IV. Representations and Fees</w:t>
      </w:r>
    </w:p>
    <w:p w14:paraId="30207748">
      <w:pPr>
        <w:spacing w:before="100" w:beforeAutospacing="1" w:after="100" w:afterAutospacing="1" w:line="240" w:lineRule="auto"/>
        <w:rPr>
          <w:rFonts w:ascii="Times New Roman" w:hAnsi="Times New Roman" w:eastAsia="Times New Roman" w:cs="Times New Roman"/>
          <w:kern w:val="0"/>
          <w14:ligatures w14:val="none"/>
        </w:rPr>
      </w:pPr>
      <w:r>
        <w:rPr>
          <w:rFonts w:ascii="Times New Roman" w:hAnsi="Times New Roman" w:eastAsia="Times New Roman" w:cs="Times New Roman"/>
          <w:kern w:val="0"/>
          <w14:ligatures w14:val="none"/>
        </w:rPr>
        <w:t>The Principal represents and warrants that all information and materials provided are true, lawful, valid, complete, and free from material omissions or misleading statements.</w:t>
      </w:r>
    </w:p>
    <w:p w14:paraId="688CD22E">
      <w:pPr>
        <w:spacing w:before="100" w:beforeAutospacing="1" w:after="100" w:afterAutospacing="1" w:line="240" w:lineRule="auto"/>
        <w:rPr>
          <w:rFonts w:ascii="Times New Roman" w:hAnsi="Times New Roman" w:eastAsia="Times New Roman" w:cs="Times New Roman"/>
          <w:kern w:val="0"/>
          <w14:ligatures w14:val="none"/>
        </w:rPr>
      </w:pPr>
      <w:r>
        <w:rPr>
          <w:rFonts w:ascii="Times New Roman" w:hAnsi="Times New Roman" w:eastAsia="Times New Roman" w:cs="Times New Roman"/>
          <w:kern w:val="0"/>
          <w14:ligatures w14:val="none"/>
        </w:rPr>
        <w:t>The Principal shall timely pay the applicable service fees required by the Trading Session, including:</w:t>
      </w:r>
    </w:p>
    <w:p w14:paraId="7D68246B">
      <w:pPr>
        <w:numPr>
          <w:ilvl w:val="0"/>
          <w:numId w:val="2"/>
        </w:numPr>
        <w:spacing w:before="100" w:beforeAutospacing="1" w:after="100" w:afterAutospacing="1" w:line="240" w:lineRule="auto"/>
        <w:rPr>
          <w:rFonts w:ascii="Times New Roman" w:hAnsi="Times New Roman" w:eastAsia="Times New Roman" w:cs="Times New Roman"/>
          <w:kern w:val="0"/>
          <w14:ligatures w14:val="none"/>
        </w:rPr>
      </w:pPr>
      <w:r>
        <w:rPr>
          <w:rFonts w:ascii="Times New Roman" w:hAnsi="Times New Roman" w:eastAsia="Times New Roman" w:cs="Times New Roman"/>
          <w:kern w:val="0"/>
          <w14:ligatures w14:val="none"/>
        </w:rPr>
        <w:t>RMB 5,000 for each exhibition/display board position;</w:t>
      </w:r>
    </w:p>
    <w:p w14:paraId="1F4A2ACA">
      <w:pPr>
        <w:numPr>
          <w:ilvl w:val="0"/>
          <w:numId w:val="2"/>
        </w:numPr>
        <w:spacing w:before="100" w:beforeAutospacing="1" w:after="100" w:afterAutospacing="1" w:line="240" w:lineRule="auto"/>
        <w:rPr>
          <w:rFonts w:ascii="Times New Roman" w:hAnsi="Times New Roman" w:eastAsia="Times New Roman" w:cs="Times New Roman"/>
          <w:kern w:val="0"/>
          <w14:ligatures w14:val="none"/>
        </w:rPr>
      </w:pPr>
      <w:r>
        <w:rPr>
          <w:rFonts w:ascii="Times New Roman" w:hAnsi="Times New Roman" w:eastAsia="Times New Roman" w:cs="Times New Roman"/>
          <w:kern w:val="0"/>
          <w14:ligatures w14:val="none"/>
        </w:rPr>
        <w:t>RMB 10,000 for each speaker presentation of up to ten (10) minutes;</w:t>
      </w:r>
    </w:p>
    <w:p w14:paraId="0EF66AD8">
      <w:pPr>
        <w:numPr>
          <w:ilvl w:val="0"/>
          <w:numId w:val="2"/>
        </w:numPr>
        <w:spacing w:before="100" w:beforeAutospacing="1" w:after="100" w:afterAutospacing="1" w:line="240" w:lineRule="auto"/>
        <w:rPr>
          <w:rFonts w:ascii="Times New Roman" w:hAnsi="Times New Roman" w:eastAsia="Times New Roman" w:cs="Times New Roman"/>
          <w:kern w:val="0"/>
          <w14:ligatures w14:val="none"/>
        </w:rPr>
      </w:pPr>
      <w:r>
        <w:rPr>
          <w:rFonts w:ascii="Times New Roman" w:hAnsi="Times New Roman" w:eastAsia="Times New Roman" w:cs="Times New Roman"/>
          <w:kern w:val="0"/>
          <w14:ligatures w14:val="none"/>
        </w:rPr>
        <w:t>Transaction commissions, taxes, and fees payable in accordance with the rules of the relevant trading platform.</w:t>
      </w:r>
    </w:p>
    <w:p w14:paraId="6C19CE02">
      <w:pPr>
        <w:spacing w:before="100" w:beforeAutospacing="1" w:after="100" w:afterAutospacing="1" w:line="240" w:lineRule="auto"/>
        <w:rPr>
          <w:rFonts w:ascii="Times New Roman" w:hAnsi="Times New Roman" w:eastAsia="Times New Roman" w:cs="Times New Roman"/>
          <w:kern w:val="0"/>
          <w14:ligatures w14:val="none"/>
        </w:rPr>
      </w:pPr>
      <w:r>
        <w:rPr>
          <w:rFonts w:ascii="Times New Roman" w:hAnsi="Times New Roman" w:eastAsia="Times New Roman" w:cs="Times New Roman"/>
          <w:b/>
          <w:bCs/>
          <w:kern w:val="0"/>
          <w14:ligatures w14:val="none"/>
        </w:rPr>
        <w:t xml:space="preserve">V. </w:t>
      </w:r>
      <w:r>
        <w:rPr>
          <w:rFonts w:ascii="Times New Roman" w:hAnsi="Times New Roman" w:eastAsia="Times New Roman" w:cs="Times New Roman"/>
          <w:kern w:val="0"/>
          <w14:ligatures w14:val="none"/>
        </w:rPr>
        <w:t>The Principal requires the Agent to maintain the confidentiality of the Principal's commercial secrets in accordance with applicable laws and contractual obligations, to provide services with professional competence and due diligence, and to safeguard the Principal's legitimate rights and interests.</w:t>
      </w:r>
    </w:p>
    <w:p w14:paraId="0BF5E469">
      <w:pPr>
        <w:spacing w:before="100" w:beforeAutospacing="1" w:after="100" w:afterAutospacing="1" w:line="240" w:lineRule="auto"/>
        <w:rPr>
          <w:rFonts w:ascii="Times New Roman" w:hAnsi="Times New Roman" w:eastAsia="Times New Roman" w:cs="Times New Roman"/>
          <w:kern w:val="0"/>
          <w14:ligatures w14:val="none"/>
        </w:rPr>
      </w:pPr>
      <w:r>
        <w:rPr>
          <w:rFonts w:ascii="Times New Roman" w:hAnsi="Times New Roman" w:eastAsia="Times New Roman" w:cs="Times New Roman"/>
          <w:kern w:val="0"/>
          <w14:ligatures w14:val="none"/>
        </w:rPr>
        <w:t>However, the Principal acknowledges that the Agent does not guarantee the successful completion of any transaction.</w:t>
      </w:r>
    </w:p>
    <w:p w14:paraId="03254113">
      <w:pPr>
        <w:spacing w:before="100" w:beforeAutospacing="1" w:after="100" w:afterAutospacing="1" w:line="240" w:lineRule="auto"/>
        <w:rPr>
          <w:rFonts w:ascii="Times New Roman" w:hAnsi="Times New Roman" w:eastAsia="Times New Roman" w:cs="Times New Roman"/>
          <w:kern w:val="0"/>
          <w14:ligatures w14:val="none"/>
        </w:rPr>
      </w:pPr>
      <w:r>
        <w:rPr>
          <w:rFonts w:ascii="Times New Roman" w:hAnsi="Times New Roman" w:eastAsia="Times New Roman" w:cs="Times New Roman"/>
          <w:b/>
          <w:bCs/>
          <w:kern w:val="0"/>
          <w14:ligatures w14:val="none"/>
        </w:rPr>
        <w:t>VI. Dispute Resolution</w:t>
      </w:r>
    </w:p>
    <w:p w14:paraId="7BE9A3B2">
      <w:pPr>
        <w:spacing w:before="100" w:beforeAutospacing="1" w:after="100" w:afterAutospacing="1" w:line="240" w:lineRule="auto"/>
        <w:rPr>
          <w:rFonts w:ascii="Times New Roman" w:hAnsi="Times New Roman" w:eastAsia="Times New Roman" w:cs="Times New Roman"/>
          <w:kern w:val="0"/>
          <w14:ligatures w14:val="none"/>
        </w:rPr>
      </w:pPr>
      <w:r>
        <w:rPr>
          <w:rFonts w:ascii="Times New Roman" w:hAnsi="Times New Roman" w:eastAsia="Times New Roman" w:cs="Times New Roman"/>
          <w:kern w:val="0"/>
          <w14:ligatures w14:val="none"/>
        </w:rPr>
        <w:t>Any dispute arising out of or in connection with this Letter of Authorization shall first be resolved through consultation between the parties. If consultation fails, the dispute shall be submitted to the Shenzhen Court of International Arbitration (SCIA) for arbitration.</w:t>
      </w:r>
    </w:p>
    <w:p w14:paraId="36D49F44">
      <w:pPr>
        <w:spacing w:before="100" w:beforeAutospacing="1" w:after="100" w:afterAutospacing="1" w:line="240" w:lineRule="auto"/>
        <w:rPr>
          <w:rFonts w:ascii="Times New Roman" w:hAnsi="Times New Roman" w:eastAsia="Times New Roman" w:cs="Times New Roman"/>
          <w:kern w:val="0"/>
          <w14:ligatures w14:val="none"/>
        </w:rPr>
      </w:pPr>
      <w:r>
        <w:rPr>
          <w:rFonts w:ascii="Times New Roman" w:hAnsi="Times New Roman" w:eastAsia="Times New Roman" w:cs="Times New Roman"/>
          <w:b/>
          <w:bCs/>
          <w:kern w:val="0"/>
          <w14:ligatures w14:val="none"/>
        </w:rPr>
        <w:t>VII. Important Notes</w:t>
      </w:r>
    </w:p>
    <w:p w14:paraId="15EECF7E">
      <w:pPr>
        <w:numPr>
          <w:ilvl w:val="0"/>
          <w:numId w:val="3"/>
        </w:numPr>
        <w:spacing w:before="100" w:beforeAutospacing="1" w:after="100" w:afterAutospacing="1" w:line="240" w:lineRule="auto"/>
        <w:rPr>
          <w:rFonts w:ascii="Times New Roman" w:hAnsi="Times New Roman" w:eastAsia="Times New Roman" w:cs="Times New Roman"/>
          <w:kern w:val="0"/>
          <w14:ligatures w14:val="none"/>
        </w:rPr>
      </w:pPr>
      <w:r>
        <w:rPr>
          <w:rFonts w:ascii="Times New Roman" w:hAnsi="Times New Roman" w:eastAsia="Times New Roman" w:cs="Times New Roman"/>
          <w:kern w:val="0"/>
          <w14:ligatures w14:val="none"/>
        </w:rPr>
        <w:t>This Letter of Authorization, the Letter of Undertaking, and the Confidentiality Agreement are independent documents and must each be executed separately. This Letter of Authorization only authorizes the Agent to provide transaction-related services and does not replace the compliance undertakings contained in the Letter of Undertaking.</w:t>
      </w:r>
    </w:p>
    <w:p w14:paraId="059ADBCF">
      <w:pPr>
        <w:numPr>
          <w:ilvl w:val="0"/>
          <w:numId w:val="3"/>
        </w:numPr>
        <w:spacing w:before="100" w:beforeAutospacing="1" w:after="100" w:afterAutospacing="1" w:line="240" w:lineRule="auto"/>
        <w:rPr>
          <w:rFonts w:ascii="Times New Roman" w:hAnsi="Times New Roman" w:eastAsia="Times New Roman" w:cs="Times New Roman"/>
          <w:kern w:val="0"/>
          <w14:ligatures w14:val="none"/>
        </w:rPr>
      </w:pPr>
      <w:r>
        <w:rPr>
          <w:rFonts w:ascii="Times New Roman" w:hAnsi="Times New Roman" w:eastAsia="Times New Roman" w:cs="Times New Roman"/>
          <w:kern w:val="0"/>
          <w14:ligatures w14:val="none"/>
        </w:rPr>
        <w:t>If "</w:t>
      </w:r>
      <w:r>
        <w:rPr>
          <w:rFonts w:hint="eastAsia" w:ascii="Times New Roman" w:hAnsi="Times New Roman" w:eastAsia="Times New Roman" w:cs="Times New Roman"/>
          <w:kern w:val="0"/>
          <w14:ligatures w14:val="none"/>
        </w:rPr>
        <w:t>Commissioned Competitive Trading</w:t>
      </w:r>
      <w:r>
        <w:rPr>
          <w:rFonts w:ascii="Times New Roman" w:hAnsi="Times New Roman" w:eastAsia="Times New Roman" w:cs="Times New Roman"/>
          <w:kern w:val="0"/>
          <w14:ligatures w14:val="none"/>
        </w:rPr>
        <w:t xml:space="preserve">" is selected and the transaction asset involves state-owned </w:t>
      </w:r>
      <w:r>
        <w:rPr>
          <w:rFonts w:hint="eastAsia" w:ascii="Times New Roman" w:hAnsi="Times New Roman" w:eastAsia="宋体" w:cs="Times New Roman"/>
          <w:kern w:val="0"/>
          <w:lang w:val="en-US" w:eastAsia="zh-CN"/>
          <w14:ligatures w14:val="none"/>
        </w:rPr>
        <w:t>m</w:t>
      </w:r>
      <w:r>
        <w:rPr>
          <w:rFonts w:hint="eastAsia" w:ascii="Times New Roman" w:hAnsi="Times New Roman" w:eastAsia="Times New Roman" w:cs="Times New Roman"/>
          <w:kern w:val="0"/>
          <w14:ligatures w14:val="none"/>
        </w:rPr>
        <w:t>ineral</w:t>
      </w:r>
      <w:r>
        <w:rPr>
          <w:rFonts w:ascii="Times New Roman" w:hAnsi="Times New Roman" w:eastAsia="Times New Roman" w:cs="Times New Roman"/>
          <w:kern w:val="0"/>
          <w14:ligatures w14:val="none"/>
        </w:rPr>
        <w:t xml:space="preserve"> rights or state-owned equity interests, the Principal should first confirm compliance with applicable state-owned asset transaction regulations. Additional documents, such as valuation reports and internal approval documents, may be required.</w:t>
      </w:r>
    </w:p>
    <w:p w14:paraId="20EF4F2C">
      <w:pPr>
        <w:numPr>
          <w:ilvl w:val="0"/>
          <w:numId w:val="3"/>
        </w:numPr>
        <w:spacing w:before="100" w:beforeAutospacing="1" w:after="100" w:afterAutospacing="1" w:line="240" w:lineRule="auto"/>
        <w:rPr>
          <w:rFonts w:ascii="Times New Roman" w:hAnsi="Times New Roman" w:eastAsia="Times New Roman" w:cs="Times New Roman"/>
          <w:kern w:val="0"/>
          <w14:ligatures w14:val="none"/>
        </w:rPr>
      </w:pPr>
      <w:r>
        <w:rPr>
          <w:rFonts w:ascii="Times New Roman" w:hAnsi="Times New Roman" w:eastAsia="Times New Roman" w:cs="Times New Roman"/>
          <w:kern w:val="0"/>
          <w14:ligatures w14:val="none"/>
        </w:rPr>
        <w:t>Submission of this Letter of Authorization shall constitute the Principal's acknowledgment and acceptance of the rules governing</w:t>
      </w:r>
      <w:r>
        <w:rPr>
          <w:rFonts w:hint="eastAsia" w:ascii="Times New Roman" w:hAnsi="Times New Roman" w:eastAsia="Times New Roman" w:cs="Times New Roman"/>
          <w:kern w:val="0"/>
          <w14:ligatures w14:val="none"/>
        </w:rPr>
        <w:t>Commissioned Competitive Trading</w:t>
      </w:r>
      <w:r>
        <w:rPr>
          <w:rFonts w:ascii="Times New Roman" w:hAnsi="Times New Roman" w:eastAsia="Times New Roman" w:cs="Times New Roman"/>
          <w:kern w:val="0"/>
          <w14:ligatures w14:val="none"/>
        </w:rPr>
        <w:t xml:space="preserve">, </w:t>
      </w:r>
      <w:r>
        <w:rPr>
          <w:rFonts w:hint="eastAsia" w:ascii="Times New Roman" w:hAnsi="Times New Roman" w:eastAsia="Times New Roman" w:cs="Times New Roman"/>
          <w:kern w:val="0"/>
          <w14:ligatures w14:val="none"/>
        </w:rPr>
        <w:t>Targeted Matchmaking</w:t>
      </w:r>
      <w:r>
        <w:rPr>
          <w:rFonts w:ascii="Times New Roman" w:hAnsi="Times New Roman" w:eastAsia="Times New Roman" w:cs="Times New Roman"/>
          <w:kern w:val="0"/>
          <w14:ligatures w14:val="none"/>
        </w:rPr>
        <w:t>, and Exclusive Negotiations under the Trading Session (as referenced in the Registration Guidelines and the implementation rules to be issued subsequently).</w:t>
      </w:r>
    </w:p>
    <w:p w14:paraId="17BCFC97">
      <w:pPr>
        <w:spacing w:before="100" w:beforeAutospacing="1" w:after="100" w:afterAutospacing="1" w:line="240" w:lineRule="auto"/>
        <w:rPr>
          <w:rFonts w:ascii="Times New Roman" w:hAnsi="Times New Roman" w:eastAsia="Times New Roman" w:cs="Times New Roman"/>
          <w:b/>
          <w:bCs/>
          <w:kern w:val="0"/>
          <w14:ligatures w14:val="none"/>
        </w:rPr>
      </w:pPr>
      <w:r>
        <w:rPr>
          <w:rFonts w:ascii="Times New Roman" w:hAnsi="Times New Roman" w:eastAsia="Times New Roman" w:cs="Times New Roman"/>
          <w:b/>
          <w:bCs/>
          <w:kern w:val="0"/>
          <w14:ligatures w14:val="none"/>
        </w:rPr>
        <w:t>VIII. Miscellaneous</w:t>
      </w:r>
      <w:bookmarkStart w:id="0" w:name="_GoBack"/>
      <w:bookmarkEnd w:id="0"/>
    </w:p>
    <w:p w14:paraId="4832E9C6">
      <w:pPr>
        <w:numPr>
          <w:ilvl w:val="0"/>
          <w:numId w:val="4"/>
        </w:numPr>
        <w:spacing w:before="100" w:beforeAutospacing="1" w:after="100" w:afterAutospacing="1" w:line="240" w:lineRule="auto"/>
        <w:rPr>
          <w:rFonts w:ascii="Times New Roman" w:hAnsi="Times New Roman" w:eastAsia="Times New Roman" w:cs="Times New Roman"/>
          <w:kern w:val="0"/>
          <w14:ligatures w14:val="none"/>
        </w:rPr>
      </w:pPr>
      <w:r>
        <w:rPr>
          <w:rFonts w:ascii="Times New Roman" w:hAnsi="Times New Roman" w:eastAsia="Times New Roman" w:cs="Times New Roman"/>
          <w:kern w:val="0"/>
          <w14:ligatures w14:val="none"/>
        </w:rPr>
        <w:t>This Letter of Authorization is executed in two (2) originals, one held by the Principal and one by the Agent, each having equal legal effect.</w:t>
      </w:r>
    </w:p>
    <w:p w14:paraId="643F1E41">
      <w:pPr>
        <w:numPr>
          <w:ilvl w:val="0"/>
          <w:numId w:val="4"/>
        </w:numPr>
        <w:spacing w:before="100" w:beforeAutospacing="1" w:after="100" w:afterAutospacing="1" w:line="240" w:lineRule="auto"/>
        <w:rPr>
          <w:rFonts w:ascii="Times New Roman" w:hAnsi="Times New Roman" w:eastAsia="Times New Roman" w:cs="Times New Roman"/>
          <w:kern w:val="0"/>
          <w14:ligatures w14:val="none"/>
        </w:rPr>
      </w:pPr>
      <w:r>
        <w:rPr>
          <w:rFonts w:ascii="Times New Roman" w:hAnsi="Times New Roman" w:eastAsia="Times New Roman" w:cs="Times New Roman"/>
          <w:kern w:val="0"/>
          <w14:ligatures w14:val="none"/>
        </w:rPr>
        <w:t>This Letter of Authorization shall become effective upon affixing the Principal's official company seal or upon signature by the Legal Representative or an authorized representative.</w:t>
      </w:r>
    </w:p>
    <w:p w14:paraId="0F8CF280">
      <w:pPr>
        <w:spacing w:before="100" w:beforeAutospacing="1" w:after="100" w:afterAutospacing="1" w:line="240" w:lineRule="auto"/>
        <w:ind w:left="720"/>
        <w:rPr>
          <w:rFonts w:ascii="Times New Roman" w:hAnsi="Times New Roman" w:eastAsia="Times New Roman" w:cs="Times New Roman"/>
          <w:kern w:val="0"/>
          <w14:ligatures w14:val="none"/>
        </w:rPr>
      </w:pPr>
    </w:p>
    <w:p w14:paraId="64788ED5">
      <w:pPr>
        <w:spacing w:before="100" w:beforeAutospacing="1" w:after="100" w:afterAutospacing="1" w:line="240" w:lineRule="auto"/>
        <w:rPr>
          <w:rFonts w:ascii="Times New Roman" w:hAnsi="Times New Roman" w:eastAsia="Times New Roman" w:cs="Times New Roman"/>
          <w:kern w:val="0"/>
          <w14:ligatures w14:val="none"/>
        </w:rPr>
      </w:pPr>
      <w:r>
        <w:rPr>
          <w:rFonts w:ascii="Times New Roman" w:hAnsi="Times New Roman" w:eastAsia="Times New Roman" w:cs="Times New Roman"/>
          <w:kern w:val="0"/>
          <w14:ligatures w14:val="none"/>
        </w:rPr>
        <w:t>Principal (Company Seal): ________________________________</w:t>
      </w:r>
    </w:p>
    <w:p w14:paraId="000C7ED0">
      <w:pPr>
        <w:spacing w:before="100" w:beforeAutospacing="1" w:after="100" w:afterAutospacing="1" w:line="240" w:lineRule="auto"/>
        <w:rPr>
          <w:rFonts w:ascii="Times New Roman" w:hAnsi="Times New Roman" w:eastAsia="Times New Roman" w:cs="Times New Roman"/>
          <w:kern w:val="0"/>
          <w14:ligatures w14:val="none"/>
        </w:rPr>
      </w:pPr>
      <w:r>
        <w:rPr>
          <w:rFonts w:ascii="Times New Roman" w:hAnsi="Times New Roman" w:eastAsia="Times New Roman" w:cs="Times New Roman"/>
          <w:kern w:val="0"/>
          <w14:ligatures w14:val="none"/>
        </w:rPr>
        <w:t>Signature of Legal Representative (or Authorized Representative): ________________________________</w:t>
      </w:r>
    </w:p>
    <w:p w14:paraId="7A69A795">
      <w:pPr>
        <w:spacing w:before="100" w:beforeAutospacing="1" w:after="100" w:afterAutospacing="1" w:line="240" w:lineRule="auto"/>
        <w:rPr>
          <w:rFonts w:ascii="Times New Roman" w:hAnsi="Times New Roman" w:eastAsia="Times New Roman" w:cs="Times New Roman"/>
          <w:kern w:val="0"/>
          <w14:ligatures w14:val="none"/>
        </w:rPr>
      </w:pPr>
      <w:r>
        <w:rPr>
          <w:rFonts w:ascii="Times New Roman" w:hAnsi="Times New Roman" w:eastAsia="Times New Roman" w:cs="Times New Roman"/>
          <w:kern w:val="0"/>
          <w14:ligatures w14:val="none"/>
        </w:rPr>
        <w:t>Date: ________________________________</w:t>
      </w:r>
    </w:p>
    <w:p w14:paraId="424EFDE9">
      <w:pPr>
        <w:spacing w:before="100" w:beforeAutospacing="1" w:after="100" w:afterAutospacing="1" w:line="240" w:lineRule="auto"/>
        <w:rPr>
          <w:rFonts w:ascii="Times New Roman" w:hAnsi="Times New Roman" w:eastAsia="Times New Roman" w:cs="Times New Roman"/>
          <w:kern w:val="0"/>
          <w14:ligatures w14:val="none"/>
        </w:rPr>
      </w:pPr>
    </w:p>
    <w:p w14:paraId="17B14D95"/>
    <w:sectPr>
      <w:pgSz w:w="11906" w:h="16838"/>
      <w:pgMar w:top="1440" w:right="1440" w:bottom="1440" w:left="1440" w:header="720" w:footer="72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ptos">
    <w:altName w:val="Segoe UI"/>
    <w:panose1 w:val="00000000000000000000"/>
    <w:charset w:val="00"/>
    <w:family w:val="swiss"/>
    <w:pitch w:val="default"/>
    <w:sig w:usb0="00000000" w:usb1="00000000" w:usb2="00000000" w:usb3="00000000" w:csb0="0000019F" w:csb1="00000000"/>
  </w:font>
  <w:font w:name="Segoe UI">
    <w:panose1 w:val="020B0502040204020203"/>
    <w:charset w:val="00"/>
    <w:family w:val="auto"/>
    <w:pitch w:val="default"/>
    <w:sig w:usb0="E4002EFF" w:usb1="C000E47F" w:usb2="00000009" w:usb3="00000000" w:csb0="200001FF" w:csb1="00000000"/>
  </w:font>
  <w:font w:name="等线">
    <w:panose1 w:val="02010600030101010101"/>
    <w:charset w:val="86"/>
    <w:family w:val="auto"/>
    <w:pitch w:val="default"/>
    <w:sig w:usb0="A00002BF" w:usb1="38CF7CFA" w:usb2="00000016" w:usb3="00000000" w:csb0="0004000F" w:csb1="00000000"/>
  </w:font>
  <w:font w:name="Aptos Display">
    <w:altName w:val="Segoe UI Variable Display"/>
    <w:panose1 w:val="00000000000000000000"/>
    <w:charset w:val="00"/>
    <w:family w:val="swiss"/>
    <w:pitch w:val="default"/>
    <w:sig w:usb0="00000000" w:usb1="00000000" w:usb2="00000000" w:usb3="00000000" w:csb0="0000019F" w:csb1="00000000"/>
  </w:font>
  <w:font w:name="Segoe UI Variable Display">
    <w:panose1 w:val="00000000000000000000"/>
    <w:charset w:val="00"/>
    <w:family w:val="auto"/>
    <w:pitch w:val="default"/>
    <w:sig w:usb0="A00002FF" w:usb1="0000000B" w:usb2="00000000" w:usb3="00000000" w:csb0="2000019F" w:csb1="00000000"/>
  </w:font>
  <w:font w:name="等线 Light">
    <w:panose1 w:val="02010600030101010101"/>
    <w:charset w:val="86"/>
    <w:family w:val="auto"/>
    <w:pitch w:val="default"/>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8" w:lineRule="auto"/>
      </w:pPr>
      <w:r>
        <w:separator/>
      </w:r>
    </w:p>
  </w:footnote>
  <w:footnote w:type="continuationSeparator" w:id="1">
    <w:p>
      <w:pPr>
        <w:spacing w:before="0" w:after="0" w:line="278"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7867A01"/>
    <w:multiLevelType w:val="multilevel"/>
    <w:tmpl w:val="27867A01"/>
    <w:lvl w:ilvl="0" w:tentative="0">
      <w:start w:val="1"/>
      <w:numFmt w:val="decimal"/>
      <w:lvlText w:val="%1."/>
      <w:lvlJc w:val="left"/>
      <w:pPr>
        <w:tabs>
          <w:tab w:val="left" w:pos="720"/>
        </w:tabs>
        <w:ind w:left="72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
    <w:nsid w:val="3AE1777B"/>
    <w:multiLevelType w:val="multilevel"/>
    <w:tmpl w:val="3AE1777B"/>
    <w:lvl w:ilvl="0" w:tentative="0">
      <w:start w:val="1"/>
      <w:numFmt w:val="decimal"/>
      <w:lvlText w:val="%1."/>
      <w:lvlJc w:val="left"/>
      <w:pPr>
        <w:tabs>
          <w:tab w:val="left" w:pos="720"/>
        </w:tabs>
        <w:ind w:left="72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2">
    <w:nsid w:val="4AD05977"/>
    <w:multiLevelType w:val="multilevel"/>
    <w:tmpl w:val="4AD05977"/>
    <w:lvl w:ilvl="0" w:tentative="0">
      <w:start w:val="1"/>
      <w:numFmt w:val="decimal"/>
      <w:lvlText w:val="%1."/>
      <w:lvlJc w:val="left"/>
      <w:pPr>
        <w:tabs>
          <w:tab w:val="left" w:pos="720"/>
        </w:tabs>
        <w:ind w:left="72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3">
    <w:nsid w:val="63253C7A"/>
    <w:multiLevelType w:val="multilevel"/>
    <w:tmpl w:val="63253C7A"/>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num w:numId="1">
    <w:abstractNumId w:val="0"/>
  </w:num>
  <w:num w:numId="2">
    <w:abstractNumId w:val="3"/>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cumentProtection w:enforcement="0"/>
  <w:defaultTabStop w:val="720"/>
  <w:characterSpacingControl w:val="doNotCompress"/>
  <w:footnotePr>
    <w:footnote w:id="0"/>
    <w:footnote w:id="1"/>
  </w:footnotePr>
  <w:endnotePr>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4568"/>
    <w:rsid w:val="001E684C"/>
    <w:rsid w:val="002A4568"/>
    <w:rsid w:val="002D4055"/>
    <w:rsid w:val="00372189"/>
    <w:rsid w:val="00CD401A"/>
    <w:rsid w:val="00E72975"/>
    <w:rsid w:val="00F37337"/>
    <w:rsid w:val="09A8429F"/>
    <w:rsid w:val="1D243E69"/>
    <w:rsid w:val="218D7C5D"/>
    <w:rsid w:val="45421F84"/>
    <w:rsid w:val="49B60C28"/>
    <w:rsid w:val="4D4E37B4"/>
    <w:rsid w:val="60A478F7"/>
  </w:rsids>
  <m:mathPr>
    <m:mathFont m:val="Cambria Math"/>
    <m:brkBin m:val="before"/>
    <m:brkBinSub m:val="--"/>
    <m:smallFrac m:val="0"/>
    <m:dispDef/>
    <m:lMargin m:val="0"/>
    <m:rMargin m:val="0"/>
    <m:defJc m:val="centerGroup"/>
    <m:wrapIndent m:val="1440"/>
    <m:intLim m:val="subSup"/>
    <m:naryLim m:val="undOvr"/>
  </m:mathPr>
  <w:themeFontLang w:val="en-AU"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78" w:lineRule="auto"/>
    </w:pPr>
    <w:rPr>
      <w:rFonts w:asciiTheme="minorHAnsi" w:hAnsiTheme="minorHAnsi" w:eastAsiaTheme="minorEastAsia" w:cstheme="minorBidi"/>
      <w:kern w:val="2"/>
      <w:sz w:val="24"/>
      <w:szCs w:val="24"/>
      <w:lang w:val="en-AU" w:eastAsia="zh-CN" w:bidi="ar-SA"/>
      <w14:ligatures w14:val="standardContextual"/>
    </w:rPr>
  </w:style>
  <w:style w:type="paragraph" w:styleId="2">
    <w:name w:val="heading 1"/>
    <w:basedOn w:val="1"/>
    <w:next w:val="1"/>
    <w:link w:val="16"/>
    <w:qFormat/>
    <w:uiPriority w:val="9"/>
    <w:pPr>
      <w:keepNext/>
      <w:keepLines/>
      <w:spacing w:before="360" w:after="80"/>
      <w:outlineLvl w:val="0"/>
    </w:pPr>
    <w:rPr>
      <w:rFonts w:asciiTheme="majorHAnsi" w:hAnsiTheme="majorHAnsi" w:eastAsiaTheme="majorEastAsia" w:cstheme="majorBidi"/>
      <w:color w:val="104862" w:themeColor="accent1" w:themeShade="BF"/>
      <w:sz w:val="40"/>
      <w:szCs w:val="40"/>
    </w:rPr>
  </w:style>
  <w:style w:type="paragraph" w:styleId="3">
    <w:name w:val="heading 2"/>
    <w:basedOn w:val="1"/>
    <w:next w:val="1"/>
    <w:link w:val="17"/>
    <w:semiHidden/>
    <w:unhideWhenUsed/>
    <w:qFormat/>
    <w:uiPriority w:val="9"/>
    <w:pPr>
      <w:keepNext/>
      <w:keepLines/>
      <w:spacing w:before="160" w:after="80"/>
      <w:outlineLvl w:val="1"/>
    </w:pPr>
    <w:rPr>
      <w:rFonts w:asciiTheme="majorHAnsi" w:hAnsiTheme="majorHAnsi" w:eastAsiaTheme="majorEastAsia" w:cstheme="majorBidi"/>
      <w:color w:val="104862" w:themeColor="accent1" w:themeShade="BF"/>
      <w:sz w:val="32"/>
      <w:szCs w:val="32"/>
    </w:rPr>
  </w:style>
  <w:style w:type="paragraph" w:styleId="4">
    <w:name w:val="heading 3"/>
    <w:basedOn w:val="1"/>
    <w:next w:val="1"/>
    <w:link w:val="18"/>
    <w:semiHidden/>
    <w:unhideWhenUsed/>
    <w:qFormat/>
    <w:uiPriority w:val="9"/>
    <w:pPr>
      <w:keepNext/>
      <w:keepLines/>
      <w:spacing w:before="160" w:after="80"/>
      <w:outlineLvl w:val="2"/>
    </w:pPr>
    <w:rPr>
      <w:rFonts w:eastAsiaTheme="majorEastAsia" w:cstheme="majorBidi"/>
      <w:color w:val="104862" w:themeColor="accent1" w:themeShade="BF"/>
      <w:sz w:val="28"/>
      <w:szCs w:val="28"/>
    </w:rPr>
  </w:style>
  <w:style w:type="paragraph" w:styleId="5">
    <w:name w:val="heading 4"/>
    <w:basedOn w:val="1"/>
    <w:next w:val="1"/>
    <w:link w:val="19"/>
    <w:semiHidden/>
    <w:unhideWhenUsed/>
    <w:qFormat/>
    <w:uiPriority w:val="9"/>
    <w:pPr>
      <w:keepNext/>
      <w:keepLines/>
      <w:spacing w:before="80" w:after="40"/>
      <w:outlineLvl w:val="3"/>
    </w:pPr>
    <w:rPr>
      <w:rFonts w:eastAsiaTheme="majorEastAsia" w:cstheme="majorBidi"/>
      <w:i/>
      <w:iCs/>
      <w:color w:val="104862" w:themeColor="accent1" w:themeShade="BF"/>
    </w:rPr>
  </w:style>
  <w:style w:type="paragraph" w:styleId="6">
    <w:name w:val="heading 5"/>
    <w:basedOn w:val="1"/>
    <w:next w:val="1"/>
    <w:link w:val="20"/>
    <w:semiHidden/>
    <w:unhideWhenUsed/>
    <w:qFormat/>
    <w:uiPriority w:val="9"/>
    <w:pPr>
      <w:keepNext/>
      <w:keepLines/>
      <w:spacing w:before="80" w:after="40"/>
      <w:outlineLvl w:val="4"/>
    </w:pPr>
    <w:rPr>
      <w:rFonts w:eastAsiaTheme="majorEastAsia" w:cstheme="majorBidi"/>
      <w:color w:val="104862" w:themeColor="accent1" w:themeShade="BF"/>
    </w:rPr>
  </w:style>
  <w:style w:type="paragraph" w:styleId="7">
    <w:name w:val="heading 6"/>
    <w:basedOn w:val="1"/>
    <w:next w:val="1"/>
    <w:link w:val="21"/>
    <w:semiHidden/>
    <w:unhideWhenUsed/>
    <w:qFormat/>
    <w:uiPriority w:val="9"/>
    <w:pPr>
      <w:keepNext/>
      <w:keepLines/>
      <w:spacing w:before="40" w:after="0"/>
      <w:outlineLvl w:val="5"/>
    </w:pPr>
    <w:rPr>
      <w:rFonts w:eastAsiaTheme="majorEastAsia" w:cstheme="majorBidi"/>
      <w:i/>
      <w:iCs/>
      <w:color w:val="595959" w:themeColor="text1" w:themeTint="A6"/>
      <w14:textFill>
        <w14:solidFill>
          <w14:schemeClr w14:val="tx1">
            <w14:lumMod w14:val="65000"/>
            <w14:lumOff w14:val="35000"/>
          </w14:schemeClr>
        </w14:solidFill>
      </w14:textFill>
    </w:rPr>
  </w:style>
  <w:style w:type="paragraph" w:styleId="8">
    <w:name w:val="heading 7"/>
    <w:basedOn w:val="1"/>
    <w:next w:val="1"/>
    <w:link w:val="22"/>
    <w:semiHidden/>
    <w:unhideWhenUsed/>
    <w:qFormat/>
    <w:uiPriority w:val="9"/>
    <w:pPr>
      <w:keepNext/>
      <w:keepLines/>
      <w:spacing w:before="40" w:after="0"/>
      <w:outlineLvl w:val="6"/>
    </w:pPr>
    <w:rPr>
      <w:rFonts w:eastAsiaTheme="majorEastAsia" w:cstheme="majorBidi"/>
      <w:color w:val="595959" w:themeColor="text1" w:themeTint="A6"/>
      <w14:textFill>
        <w14:solidFill>
          <w14:schemeClr w14:val="tx1">
            <w14:lumMod w14:val="65000"/>
            <w14:lumOff w14:val="35000"/>
          </w14:schemeClr>
        </w14:solidFill>
      </w14:textFill>
    </w:rPr>
  </w:style>
  <w:style w:type="paragraph" w:styleId="9">
    <w:name w:val="heading 8"/>
    <w:basedOn w:val="1"/>
    <w:next w:val="1"/>
    <w:link w:val="23"/>
    <w:semiHidden/>
    <w:unhideWhenUsed/>
    <w:qFormat/>
    <w:uiPriority w:val="9"/>
    <w:pPr>
      <w:keepNext/>
      <w:keepLines/>
      <w:spacing w:after="0"/>
      <w:outlineLvl w:val="7"/>
    </w:pPr>
    <w:rPr>
      <w:rFonts w:eastAsiaTheme="majorEastAsia" w:cstheme="majorBidi"/>
      <w:i/>
      <w:iCs/>
      <w:color w:val="262626" w:themeColor="text1" w:themeTint="D9"/>
      <w14:textFill>
        <w14:solidFill>
          <w14:schemeClr w14:val="tx1">
            <w14:lumMod w14:val="85000"/>
            <w14:lumOff w14:val="15000"/>
          </w14:schemeClr>
        </w14:solidFill>
      </w14:textFill>
    </w:rPr>
  </w:style>
  <w:style w:type="paragraph" w:styleId="10">
    <w:name w:val="heading 9"/>
    <w:basedOn w:val="1"/>
    <w:next w:val="1"/>
    <w:link w:val="24"/>
    <w:semiHidden/>
    <w:unhideWhenUsed/>
    <w:qFormat/>
    <w:uiPriority w:val="9"/>
    <w:pPr>
      <w:keepNext/>
      <w:keepLines/>
      <w:spacing w:after="0"/>
      <w:outlineLvl w:val="8"/>
    </w:pPr>
    <w:rPr>
      <w:rFonts w:eastAsiaTheme="majorEastAsia" w:cstheme="majorBidi"/>
      <w:color w:val="262626" w:themeColor="text1" w:themeTint="D9"/>
      <w14:textFill>
        <w14:solidFill>
          <w14:schemeClr w14:val="tx1">
            <w14:lumMod w14:val="85000"/>
            <w14:lumOff w14:val="15000"/>
          </w14:schemeClr>
        </w14:solidFill>
      </w14:textFill>
    </w:rPr>
  </w:style>
  <w:style w:type="character" w:default="1" w:styleId="15">
    <w:name w:val="Default Paragraph Font"/>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11">
    <w:name w:val="annotation text"/>
    <w:basedOn w:val="1"/>
    <w:semiHidden/>
    <w:unhideWhenUsed/>
    <w:qFormat/>
    <w:uiPriority w:val="99"/>
    <w:pPr>
      <w:jc w:val="left"/>
    </w:pPr>
  </w:style>
  <w:style w:type="paragraph" w:styleId="12">
    <w:name w:val="Subtitle"/>
    <w:basedOn w:val="1"/>
    <w:next w:val="1"/>
    <w:link w:val="26"/>
    <w:qFormat/>
    <w:uiPriority w:val="11"/>
    <w:rPr>
      <w:rFonts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13">
    <w:name w:val="Title"/>
    <w:basedOn w:val="1"/>
    <w:next w:val="1"/>
    <w:link w:val="25"/>
    <w:qFormat/>
    <w:uiPriority w:val="10"/>
    <w:pPr>
      <w:spacing w:after="80" w:line="240" w:lineRule="auto"/>
      <w:contextualSpacing/>
    </w:pPr>
    <w:rPr>
      <w:rFonts w:asciiTheme="majorHAnsi" w:hAnsiTheme="majorHAnsi" w:eastAsiaTheme="majorEastAsia" w:cstheme="majorBidi"/>
      <w:spacing w:val="-10"/>
      <w:kern w:val="28"/>
      <w:sz w:val="56"/>
      <w:szCs w:val="56"/>
    </w:rPr>
  </w:style>
  <w:style w:type="character" w:customStyle="1" w:styleId="16">
    <w:name w:val="Heading 1 Char"/>
    <w:basedOn w:val="15"/>
    <w:link w:val="2"/>
    <w:qFormat/>
    <w:uiPriority w:val="9"/>
    <w:rPr>
      <w:rFonts w:asciiTheme="majorHAnsi" w:hAnsiTheme="majorHAnsi" w:eastAsiaTheme="majorEastAsia" w:cstheme="majorBidi"/>
      <w:color w:val="104862" w:themeColor="accent1" w:themeShade="BF"/>
      <w:sz w:val="40"/>
      <w:szCs w:val="40"/>
    </w:rPr>
  </w:style>
  <w:style w:type="character" w:customStyle="1" w:styleId="17">
    <w:name w:val="Heading 2 Char"/>
    <w:basedOn w:val="15"/>
    <w:link w:val="3"/>
    <w:semiHidden/>
    <w:qFormat/>
    <w:uiPriority w:val="9"/>
    <w:rPr>
      <w:rFonts w:asciiTheme="majorHAnsi" w:hAnsiTheme="majorHAnsi" w:eastAsiaTheme="majorEastAsia" w:cstheme="majorBidi"/>
      <w:color w:val="104862" w:themeColor="accent1" w:themeShade="BF"/>
      <w:sz w:val="32"/>
      <w:szCs w:val="32"/>
    </w:rPr>
  </w:style>
  <w:style w:type="character" w:customStyle="1" w:styleId="18">
    <w:name w:val="Heading 3 Char"/>
    <w:basedOn w:val="15"/>
    <w:link w:val="4"/>
    <w:semiHidden/>
    <w:qFormat/>
    <w:uiPriority w:val="9"/>
    <w:rPr>
      <w:rFonts w:eastAsiaTheme="majorEastAsia" w:cstheme="majorBidi"/>
      <w:color w:val="104862" w:themeColor="accent1" w:themeShade="BF"/>
      <w:sz w:val="28"/>
      <w:szCs w:val="28"/>
    </w:rPr>
  </w:style>
  <w:style w:type="character" w:customStyle="1" w:styleId="19">
    <w:name w:val="Heading 4 Char"/>
    <w:basedOn w:val="15"/>
    <w:link w:val="5"/>
    <w:semiHidden/>
    <w:qFormat/>
    <w:uiPriority w:val="9"/>
    <w:rPr>
      <w:rFonts w:eastAsiaTheme="majorEastAsia" w:cstheme="majorBidi"/>
      <w:i/>
      <w:iCs/>
      <w:color w:val="104862" w:themeColor="accent1" w:themeShade="BF"/>
    </w:rPr>
  </w:style>
  <w:style w:type="character" w:customStyle="1" w:styleId="20">
    <w:name w:val="Heading 5 Char"/>
    <w:basedOn w:val="15"/>
    <w:link w:val="6"/>
    <w:semiHidden/>
    <w:qFormat/>
    <w:uiPriority w:val="9"/>
    <w:rPr>
      <w:rFonts w:eastAsiaTheme="majorEastAsia" w:cstheme="majorBidi"/>
      <w:color w:val="104862" w:themeColor="accent1" w:themeShade="BF"/>
    </w:rPr>
  </w:style>
  <w:style w:type="character" w:customStyle="1" w:styleId="21">
    <w:name w:val="Heading 6 Char"/>
    <w:basedOn w:val="15"/>
    <w:link w:val="7"/>
    <w:semiHidden/>
    <w:qFormat/>
    <w:uiPriority w:val="9"/>
    <w:rPr>
      <w:rFonts w:eastAsiaTheme="majorEastAsia" w:cstheme="majorBidi"/>
      <w:i/>
      <w:iCs/>
      <w:color w:val="595959" w:themeColor="text1" w:themeTint="A6"/>
      <w14:textFill>
        <w14:solidFill>
          <w14:schemeClr w14:val="tx1">
            <w14:lumMod w14:val="65000"/>
            <w14:lumOff w14:val="35000"/>
          </w14:schemeClr>
        </w14:solidFill>
      </w14:textFill>
    </w:rPr>
  </w:style>
  <w:style w:type="character" w:customStyle="1" w:styleId="22">
    <w:name w:val="Heading 7 Char"/>
    <w:basedOn w:val="15"/>
    <w:link w:val="8"/>
    <w:semiHidden/>
    <w:qFormat/>
    <w:uiPriority w:val="9"/>
    <w:rPr>
      <w:rFonts w:eastAsiaTheme="majorEastAsia" w:cstheme="majorBidi"/>
      <w:color w:val="595959" w:themeColor="text1" w:themeTint="A6"/>
      <w14:textFill>
        <w14:solidFill>
          <w14:schemeClr w14:val="tx1">
            <w14:lumMod w14:val="65000"/>
            <w14:lumOff w14:val="35000"/>
          </w14:schemeClr>
        </w14:solidFill>
      </w14:textFill>
    </w:rPr>
  </w:style>
  <w:style w:type="character" w:customStyle="1" w:styleId="23">
    <w:name w:val="Heading 8 Char"/>
    <w:basedOn w:val="15"/>
    <w:link w:val="9"/>
    <w:semiHidden/>
    <w:qFormat/>
    <w:uiPriority w:val="9"/>
    <w:rPr>
      <w:rFonts w:eastAsiaTheme="majorEastAsia" w:cstheme="majorBidi"/>
      <w:i/>
      <w:iCs/>
      <w:color w:val="262626" w:themeColor="text1" w:themeTint="D9"/>
      <w14:textFill>
        <w14:solidFill>
          <w14:schemeClr w14:val="tx1">
            <w14:lumMod w14:val="85000"/>
            <w14:lumOff w14:val="15000"/>
          </w14:schemeClr>
        </w14:solidFill>
      </w14:textFill>
    </w:rPr>
  </w:style>
  <w:style w:type="character" w:customStyle="1" w:styleId="24">
    <w:name w:val="Heading 9 Char"/>
    <w:basedOn w:val="15"/>
    <w:link w:val="10"/>
    <w:semiHidden/>
    <w:qFormat/>
    <w:uiPriority w:val="9"/>
    <w:rPr>
      <w:rFonts w:eastAsiaTheme="majorEastAsia" w:cstheme="majorBidi"/>
      <w:color w:val="262626" w:themeColor="text1" w:themeTint="D9"/>
      <w14:textFill>
        <w14:solidFill>
          <w14:schemeClr w14:val="tx1">
            <w14:lumMod w14:val="85000"/>
            <w14:lumOff w14:val="15000"/>
          </w14:schemeClr>
        </w14:solidFill>
      </w14:textFill>
    </w:rPr>
  </w:style>
  <w:style w:type="character" w:customStyle="1" w:styleId="25">
    <w:name w:val="Title Char"/>
    <w:basedOn w:val="15"/>
    <w:link w:val="13"/>
    <w:qFormat/>
    <w:uiPriority w:val="10"/>
    <w:rPr>
      <w:rFonts w:asciiTheme="majorHAnsi" w:hAnsiTheme="majorHAnsi" w:eastAsiaTheme="majorEastAsia" w:cstheme="majorBidi"/>
      <w:spacing w:val="-10"/>
      <w:kern w:val="28"/>
      <w:sz w:val="56"/>
      <w:szCs w:val="56"/>
    </w:rPr>
  </w:style>
  <w:style w:type="character" w:customStyle="1" w:styleId="26">
    <w:name w:val="Subtitle Char"/>
    <w:basedOn w:val="15"/>
    <w:link w:val="12"/>
    <w:qFormat/>
    <w:uiPriority w:val="11"/>
    <w:rPr>
      <w:rFonts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27">
    <w:name w:val="Quote"/>
    <w:basedOn w:val="1"/>
    <w:next w:val="1"/>
    <w:link w:val="28"/>
    <w:qFormat/>
    <w:uiPriority w:val="29"/>
    <w:pPr>
      <w:spacing w:before="160"/>
      <w:jc w:val="center"/>
    </w:pPr>
    <w:rPr>
      <w:i/>
      <w:iCs/>
      <w:color w:val="404040" w:themeColor="text1" w:themeTint="BF"/>
      <w14:textFill>
        <w14:solidFill>
          <w14:schemeClr w14:val="tx1">
            <w14:lumMod w14:val="75000"/>
            <w14:lumOff w14:val="25000"/>
          </w14:schemeClr>
        </w14:solidFill>
      </w14:textFill>
    </w:rPr>
  </w:style>
  <w:style w:type="character" w:customStyle="1" w:styleId="28">
    <w:name w:val="Quote Char"/>
    <w:basedOn w:val="15"/>
    <w:link w:val="27"/>
    <w:qFormat/>
    <w:uiPriority w:val="29"/>
    <w:rPr>
      <w:i/>
      <w:iCs/>
      <w:color w:val="404040" w:themeColor="text1" w:themeTint="BF"/>
      <w14:textFill>
        <w14:solidFill>
          <w14:schemeClr w14:val="tx1">
            <w14:lumMod w14:val="75000"/>
            <w14:lumOff w14:val="25000"/>
          </w14:schemeClr>
        </w14:solidFill>
      </w14:textFill>
    </w:rPr>
  </w:style>
  <w:style w:type="paragraph" w:styleId="29">
    <w:name w:val="List Paragraph"/>
    <w:basedOn w:val="1"/>
    <w:qFormat/>
    <w:uiPriority w:val="34"/>
    <w:pPr>
      <w:ind w:left="720"/>
      <w:contextualSpacing/>
    </w:pPr>
  </w:style>
  <w:style w:type="character" w:customStyle="1" w:styleId="30">
    <w:name w:val="Intense Emphasis"/>
    <w:basedOn w:val="15"/>
    <w:qFormat/>
    <w:uiPriority w:val="21"/>
    <w:rPr>
      <w:i/>
      <w:iCs/>
      <w:color w:val="104862" w:themeColor="accent1" w:themeShade="BF"/>
    </w:rPr>
  </w:style>
  <w:style w:type="paragraph" w:styleId="31">
    <w:name w:val="Intense Quote"/>
    <w:basedOn w:val="1"/>
    <w:next w:val="1"/>
    <w:link w:val="32"/>
    <w:qFormat/>
    <w:uiPriority w:val="30"/>
    <w:pPr>
      <w:pBdr>
        <w:top w:val="single" w:color="0F4761" w:themeColor="accent1" w:themeShade="BF" w:sz="4" w:space="10"/>
        <w:bottom w:val="single" w:color="0F4761" w:themeColor="accent1" w:themeShade="BF" w:sz="4" w:space="10"/>
      </w:pBdr>
      <w:spacing w:before="360" w:after="360"/>
      <w:ind w:left="864" w:right="864"/>
      <w:jc w:val="center"/>
    </w:pPr>
    <w:rPr>
      <w:i/>
      <w:iCs/>
      <w:color w:val="104862" w:themeColor="accent1" w:themeShade="BF"/>
    </w:rPr>
  </w:style>
  <w:style w:type="character" w:customStyle="1" w:styleId="32">
    <w:name w:val="Intense Quote Char"/>
    <w:basedOn w:val="15"/>
    <w:link w:val="31"/>
    <w:qFormat/>
    <w:uiPriority w:val="30"/>
    <w:rPr>
      <w:i/>
      <w:iCs/>
      <w:color w:val="104862" w:themeColor="accent1" w:themeShade="BF"/>
    </w:rPr>
  </w:style>
  <w:style w:type="character" w:customStyle="1" w:styleId="33">
    <w:name w:val="Intense Reference"/>
    <w:basedOn w:val="15"/>
    <w:qFormat/>
    <w:uiPriority w:val="32"/>
    <w:rPr>
      <w:b/>
      <w:bCs/>
      <w:smallCaps/>
      <w:color w:val="104862" w:themeColor="accent1" w:themeShade="BF"/>
      <w:spacing w:val="5"/>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theme>
</file>

<file path=docProps/app.xml><?xml version="1.0" encoding="utf-8"?>
<Properties xmlns="http://schemas.openxmlformats.org/officeDocument/2006/extended-properties" xmlns:vt="http://schemas.openxmlformats.org/officeDocument/2006/docPropsVTypes">
  <Template>Normal</Template>
  <Company>Karara Mining LTD</Company>
  <Pages>3</Pages>
  <Words>879</Words>
  <Characters>5924</Characters>
  <Lines>180</Lines>
  <Paragraphs>175</Paragraphs>
  <TotalTime>3</TotalTime>
  <ScaleCrop>false</ScaleCrop>
  <LinksUpToDate>false</LinksUpToDate>
  <CharactersWithSpaces>6754</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2026-06-04T03:18:00Z</dcterms:created>
  <dc:creator>Gaomai Trench</dc:creator>
  <cp:lastModifiedBy>胡纯晓</cp:lastModifiedBy>
  <dcterms:modified xsi:type="dcterms:W3CDTF">2026-06-11T05:52:24Z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eyJoZGlkIjoiNjE1NWY5NmNlN2Y1YmU3NjM1YzVhOGM5Y2RlNWY3MzAiLCJ1c2VySWQiOiIxMTc4MTI3MzEwIn0=</vt:lpwstr>
  </property>
  <property fmtid="{D5CDD505-2E9C-101B-9397-08002B2CF9AE}" pid="3" name="KSOProductBuildVer">
    <vt:lpwstr>2052-12.1.0.26895</vt:lpwstr>
  </property>
  <property fmtid="{D5CDD505-2E9C-101B-9397-08002B2CF9AE}" pid="4" name="ICV">
    <vt:lpwstr>0533D399420747DAAAD1FEDA8DD49575_12</vt:lpwstr>
  </property>
</Properties>
</file>